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c062e5f2f0d401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35974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KAROJBA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1.466.208,69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1.558.734,71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949.742,02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1.112.878,28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516.466,67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445.856,43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507.916,94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465.468,24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496.324,70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464.758,24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38.136,34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33.387,13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38.136,34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33.387,13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17.994,37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52.288,94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290,6</w:t>
            </w:r>
          </w:p>
        </w:tc>
      </w:tr>
    </w:tbl>
    <w:p>
      <w:pPr>
        <w:spacing w:before="0" w:after="0"/>
      </w:pPr>
    </w:p>
    <w:p>
      <w:r>
        <w:t xml:space="preserve">Općina Karojba primjenjuje proračunsko računovodstvo u skladu sa Zakonom o proračunu i Pravilnikom o proračunskom računovodstvu i računskom planu. Prema odredbama navedenih propisa Općina u svojim knjigovodstvenim evidencijama osigurava pojedinačne podatke o vrstama prihoda i primitaka, rashoda i izdataka, stanju imovine, obveza i vlastitih izvora.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1.466.208,69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1.558.734,71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bl>
    <w:p>
      <w:pPr>
        <w:spacing w:before="0" w:after="0"/>
      </w:pPr>
    </w:p>
    <w:p>
      <w:r>
        <w:t xml:space="preserve">Prihodi poslovanja općine Karojba bilježe porast od 5,80% u odnosu na isto razdoblje protekle godine.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822.169,41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956.161,15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Prihodi od poreza bilježe povećanje od 16,30% u odnosu na isto razdoblje prethodne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713.728,91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838.404,14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bl>
    <w:p>
      <w:pPr>
        <w:spacing w:before="0" w:after="0"/>
      </w:pPr>
    </w:p>
    <w:p>
      <w:r>
        <w:t xml:space="preserve">Porez na dohodak bilježi povećanje u odnosu na isto razdoblje prethodne godine za 17,50%.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nesamostalnog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691.874,89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814.381,92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w:t>
            </w:r>
          </w:p>
        </w:tc>
      </w:tr>
    </w:tbl>
    <w:p>
      <w:pPr>
        <w:spacing w:before="0" w:after="0"/>
      </w:pPr>
    </w:p>
    <w:p>
      <w:r>
        <w:t xml:space="preserve">Porez na dohodak od nesamostalnog rada bilježi povećanje u odnosu na isto razdoblje prethodne godine.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Povrat poreza na dohodak po godišnjoj prijavi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112.368,89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148.840,47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w:t>
            </w:r>
          </w:p>
        </w:tc>
      </w:tr>
    </w:tbl>
    <w:p>
      <w:pPr>
        <w:spacing w:before="0" w:after="0"/>
      </w:pPr>
    </w:p>
    <w:p>
      <w:r>
        <w:t xml:space="preserve">Povrat poreza na dohodak po godišnjoj prijavi bilježi porast za 32,50% u odnosu na isto razdoblje prošle godine zbog toga što se zapošljava mlađa populacija.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Stalni porezi na nepokretnu imovinu (zemlju, zgrade, kuće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43.431,91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47.654,99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bl>
    <w:p>
      <w:pPr>
        <w:spacing w:before="0" w:after="0"/>
      </w:pPr>
    </w:p>
    <w:p>
      <w:r>
        <w:t xml:space="preserve">Od ostvarenog iznosa dio se odnosi na naplaćena potraživanja poreza na kuće za odmor za dugovanja iz prethodnih razdoblja,  a dio na porez na nekretnine, zaduženje tekuće godine. Zaduženje i praćenje naplate općinskih poreza obavlja Odsjek za utvrđivanje i naplatu poreza i vlastitih prihoda Istarske županije.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316.281,82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240.673,25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w:t>
            </w:r>
          </w:p>
        </w:tc>
      </w:tr>
    </w:tbl>
    <w:p>
      <w:pPr>
        <w:spacing w:before="0" w:after="0"/>
      </w:pPr>
    </w:p>
    <w:p>
      <w:r>
        <w:t xml:space="preserve">Pomoći proračunu i izvanproračunskim korisnicima su smanjene za 21,6% u odnosu na isto razdoblje prošle godine, zbog novog načina knjiženja. (fiskalno izravnanje - pomoći). Najveći udio pomoći odnosi se na kapitalne pomoći Istarske županije za komunalne projekte i otplatu kredita u visini 50% anuiteta za izgradnju dječjeg vrtića iz 2014. godine, pomoć Grada Pazina za projektnu dokumentaciju za energetsku obnovu PŠ Karojba, tekuće pomoći Istarske županije za lokalne izbore i tekuće pomoći državnog proračuna za funkcionalno spajanje.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169.005,34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131.930,02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w:t>
            </w:r>
          </w:p>
        </w:tc>
      </w:tr>
    </w:tbl>
    <w:p>
      <w:pPr>
        <w:spacing w:before="0" w:after="0"/>
      </w:pPr>
    </w:p>
    <w:p>
      <w:r>
        <w:t xml:space="preserve">Komunalni doprinos je smanjen u odnosu na isto razdoblje prethodne godine i to zbog odobravanja popusta lokalnom stanovništvu, a prema važećoj Odluci.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107.427,79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162.672,69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151,4</w:t>
            </w:r>
          </w:p>
        </w:tc>
      </w:tr>
    </w:tbl>
    <w:p>
      <w:pPr>
        <w:spacing w:before="0" w:after="0"/>
      </w:pPr>
    </w:p>
    <w:p>
      <w:r>
        <w:t xml:space="preserve">Rashodi za zaposlene su povećani  u odnosu na isto razdoblje prethodne godine, zbog novih zapošljavanja, povećanja osnovice i većih materijalnih prava zaposlenika.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315.691,60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388.370,70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w:t>
            </w:r>
          </w:p>
        </w:tc>
      </w:tr>
    </w:tbl>
    <w:p>
      <w:pPr>
        <w:spacing w:before="0" w:after="0"/>
      </w:pPr>
    </w:p>
    <w:p>
      <w:r>
        <w:t xml:space="preserve">Unutar pojedinih rashoda bilježi se povećanje ili smanjenje ostvarenja u odnosu na prethodnu godinu.  Značajnije povećanje odnosi se na povećane rashode za intelektualne i osobne usluge, računalne usluge i ostale usluge.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17.532,49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1706,5</w:t>
            </w:r>
          </w:p>
        </w:tc>
      </w:tr>
    </w:tbl>
    <w:p>
      <w:pPr>
        <w:spacing w:before="0" w:after="0"/>
      </w:pPr>
    </w:p>
    <w:p>
      <w:r>
        <w:t xml:space="preserve">Povećanje se odnosi na rashode za licence računalnih programa.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21.781,54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508,0</w:t>
            </w:r>
          </w:p>
        </w:tc>
      </w:tr>
    </w:tbl>
    <w:p>
      <w:pPr>
        <w:spacing w:before="0" w:after="0"/>
      </w:pPr>
    </w:p>
    <w:p>
      <w:r>
        <w:t xml:space="preserve">Povećanje naknada u najvećoj mjeri  se odnosi na troškove i naknade članovima biračkih odbora i izbornih povjerenstava za izbore.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716,7</w:t>
            </w:r>
          </w:p>
        </w:tc>
      </w:tr>
    </w:tbl>
    <w:p>
      <w:pPr>
        <w:spacing w:before="0" w:after="0"/>
      </w:pPr>
    </w:p>
    <w:p>
      <w:r>
        <w:t xml:space="preserve">Povećanje se odnosi na poslovnu suradnju sa razvojnom agencijom.</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195.408,20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263.148,21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134,7</w:t>
            </w:r>
          </w:p>
        </w:tc>
      </w:tr>
    </w:tbl>
    <w:p>
      <w:pPr>
        <w:spacing w:before="0" w:after="0"/>
      </w:pPr>
    </w:p>
    <w:p>
      <w:r>
        <w:t xml:space="preserve">Tekuće pomoći proračunskim korisnicima drugih proračuna odnose se na izdvajanja za proračunske korisnike Grada Pazina odnosno za Dječji vrtić , Javnu vatrogasnu postrojbu, Gradsku knjižnicu, Osnovnu školu.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40.017,72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69.510,49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173,7</w:t>
            </w:r>
          </w:p>
        </w:tc>
      </w:tr>
    </w:tbl>
    <w:p>
      <w:pPr>
        <w:spacing w:before="0" w:after="0"/>
      </w:pPr>
    </w:p>
    <w:p>
      <w:r>
        <w:t xml:space="preserve">Naknade građanima i kućanstvima se povećavaju za 73,70%. Općina je donijela Odluku prema kojoj su povećana prava na sufinanciranje.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38.173,42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51.426,96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134,7</w:t>
            </w:r>
          </w:p>
        </w:tc>
      </w:tr>
    </w:tbl>
    <w:p>
      <w:pPr>
        <w:spacing w:before="0" w:after="0"/>
      </w:pPr>
    </w:p>
    <w:p>
      <w:r>
        <w:t xml:space="preserve">Povećanje tekućih donacija za 34,70% realizirano je na osnovu zaključenih Ugovora i Sporazuma.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379.593,93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274.776,46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w:t>
            </w:r>
          </w:p>
        </w:tc>
      </w:tr>
    </w:tbl>
    <w:p>
      <w:pPr>
        <w:spacing w:before="0" w:after="0"/>
      </w:pPr>
    </w:p>
    <w:p>
      <w:r>
        <w:t xml:space="preserve">Ulaganja u građevinske objekte smanjena su za 27,60% iz razloga većih ulaganja u sljedećoj godini. (Kreditna sredstva)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41.935,66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509,9</w:t>
            </w:r>
          </w:p>
        </w:tc>
      </w:tr>
    </w:tbl>
    <w:p>
      <w:pPr>
        <w:spacing w:before="0" w:after="0"/>
      </w:pPr>
    </w:p>
    <w:p>
      <w:r>
        <w:t xml:space="preserve">Postrojenje i oprema bilježe porast iz razloga uređenja i opremanja upravne zgrade Općine.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37.628,75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308,6</w:t>
            </w:r>
          </w:p>
        </w:tc>
      </w:tr>
    </w:tbl>
    <w:p>
      <w:pPr>
        <w:spacing w:before="0" w:after="0"/>
      </w:pPr>
    </w:p>
    <w:p>
      <w:r>
        <w:t xml:space="preserve">Zbog daljnjih ulaganja, u toku 2025.godine došlo je do povećanja troškova za Projektnu dokumentaciju.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38.136,34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33.387,13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87,5</w:t>
            </w:r>
          </w:p>
        </w:tc>
      </w:tr>
    </w:tbl>
    <w:p>
      <w:pPr>
        <w:spacing w:before="0" w:after="0"/>
      </w:pPr>
    </w:p>
    <w:p>
      <w:r>
        <w:t xml:space="preserve">Obaveze prema zaključenim ugovorima za dugoročno zaduživanje izvršavaju se u cjelosti prema otplatnim planovima.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zajmova od drugih razina vlasti (šifre 5471 do 5477)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Otplaćen je kratkoročni zajam za povrat poreza po godišnjoj prijavi.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4.101.902,83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4.483.613,70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r>
        <w:t xml:space="preserve">Imovina se povećava temeljem novonabavljene dugotrajne imovine.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neproizvedene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45.611,27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46.147,58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w:t>
            </w:r>
          </w:p>
        </w:tc>
      </w:tr>
    </w:tbl>
    <w:p>
      <w:pPr>
        <w:spacing w:before="0" w:after="0"/>
      </w:pPr>
    </w:p>
    <w:p>
      <w:r>
        <w:t xml:space="preserve">Odnosi se na licence za računalne programe.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56.106,32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85.096,83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w:t>
            </w:r>
          </w:p>
        </w:tc>
      </w:tr>
    </w:tbl>
    <w:p>
      <w:pPr>
        <w:spacing w:before="0" w:after="0"/>
      </w:pPr>
    </w:p>
    <w:p>
      <w:r>
        <w:t xml:space="preserve">Povećanje je zbog novonabavljene opreme.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0261 do 0264 - 02926)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104.735,49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172.952,50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165,1</w:t>
            </w:r>
          </w:p>
        </w:tc>
      </w:tr>
    </w:tbl>
    <w:p>
      <w:pPr>
        <w:spacing w:before="0" w:after="0"/>
      </w:pPr>
    </w:p>
    <w:p>
      <w:r>
        <w:t xml:space="preserve">Povećanje se odnosi za Projektnu dokumentaciju za projekte rekonstrukcije dječjeg vrtića, uređenja i opremanja SC Pilati, razvoj zelene infrastrukture u urbanim područjima u naselju Rakotule.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429,5</w:t>
            </w:r>
          </w:p>
        </w:tc>
      </w:tr>
    </w:tbl>
    <w:p>
      <w:pPr>
        <w:spacing w:before="0" w:after="0"/>
      </w:pPr>
    </w:p>
    <w:p>
      <w:r>
        <w:t xml:space="preserve">Najvećim se djelom potraživanja odnose na potraživanja za predujmove za elektroenergetske suglasnosti budućih projekata.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132.740,93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temelju zaključenih sljedećih ugovora:</w:t>
      </w:r>
    </w:p>
    <w:p>
      <w:r>
        <w:t xml:space="preserve">-Ugovor sa Gradom Pazinom za prodaju zemljišta u suvlasničkom udjelu 3/49 za k.č. 2714/3 k.o. Poreč (dječje odmaralište) u iznosu od 54.778,43 </w:t>
      </w:r>
    </w:p>
    <w:p>
      <w:r>
        <w:t xml:space="preserve">-Ugovor o dodjeli bespovratnih sredstava za dogradnju i energetsku obnovu PŠ Karojba u iznosu od 77.962,49</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36.305,17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39.772,75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w:t>
            </w:r>
          </w:p>
        </w:tc>
      </w:tr>
    </w:tbl>
    <w:p>
      <w:pPr>
        <w:spacing w:before="0" w:after="0"/>
      </w:pPr>
    </w:p>
    <w:p>
      <w:r>
        <w:t xml:space="preserve">Odnose se najvećim djelom na prihode od naknada za komunalni doprinos i komunalnu naknadu.</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475,3</w:t>
            </w:r>
          </w:p>
        </w:tc>
      </w:tr>
    </w:tbl>
    <w:p>
      <w:pPr>
        <w:spacing w:before="0" w:after="0"/>
      </w:pPr>
    </w:p>
    <w:p>
      <w:r>
        <w:t xml:space="preserve">Odnose se na premije osiguranja i troškove sufinanciranja školske marende za 12/2025.</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114.594,84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Dospjela potraživanja najvećim se djelom odnose na potraživanja od Grada Pazina po ugovoru, komunalni doprinos i porez na promet nekretnina.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javne usluge (šifre 011+012+013+014 do 018)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287.722,93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377.248,94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w:t>
            </w:r>
          </w:p>
        </w:tc>
      </w:tr>
    </w:tbl>
    <w:p>
      <w:pPr>
        <w:spacing w:before="0" w:after="0"/>
      </w:pPr>
    </w:p>
    <w:p>
      <w:r>
        <w:t xml:space="preserve">Povećane su za 31,10%, usporedno sa povećanjem i ostalih rashoda.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Gospodarenje otpadnim vodama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tijeku su troškovi vezani za izgradnju kanalizacije na području Aglomeracije Karojba.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Razvoj zajednice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326.757,03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365.758,36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r>
        <w:t xml:space="preserve">Povećani su troškovi za opremanje naselja komunalnom infrastrukturom.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Ulična rasvjeta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109.084,62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35.260,15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w:t>
            </w:r>
          </w:p>
        </w:tc>
      </w:tr>
    </w:tbl>
    <w:p>
      <w:pPr>
        <w:spacing w:before="0" w:after="0"/>
      </w:pPr>
    </w:p>
    <w:p>
      <w:r>
        <w:t xml:space="preserve">Budući je protekle godine izvršena modernizacija javne rasvjete na velikom djelu područja općine Karojba, u ovoj godini su rađeni pripremni radovi za postavljanje novih rasvjetnih tijela usporedno sa izgradnjom kanalizacije.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148.772,92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197.576,86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w:t>
            </w:r>
          </w:p>
        </w:tc>
      </w:tr>
    </w:tbl>
    <w:p>
      <w:pPr>
        <w:spacing w:before="0" w:after="0"/>
      </w:pPr>
    </w:p>
    <w:p>
      <w:r>
        <w:t xml:space="preserve">Povećani su troškovi za plaće i materijalna prava djelatnika Vrtića.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Socijalna pomoć stanovništvu koje nije obuhvaćeno redovnim socijalnim programima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36.306,29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367,4</w:t>
            </w:r>
          </w:p>
        </w:tc>
      </w:tr>
    </w:tbl>
    <w:p>
      <w:pPr>
        <w:spacing w:before="0" w:after="0"/>
      </w:pPr>
    </w:p>
    <w:p>
      <w:r>
        <w:t xml:space="preserve">Povećana su materijalna prava za sufinanciranje troškova vrtića i marende.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nefinancijske imovine (šifre P002 do P007)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188.454,72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Najvećim se dijelom odnosi na ispravak vrijednosti za nefinancijsku imovinu.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188.454,72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Prodajom zemljišta postignuta je viša cijena od procijenjene vrijednosti nekretnine.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227.817,66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se odnose na odobrene popuste prema Odluci o komunalnom doprinosu.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12.286,77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najvećim se dijelom odnose  na nepodmirene obveze prema proračunskim korisnicima drugog proračuna zbog kašnjenja dostave zahtjeva. Do podnošenja ovog izvještaja podmirene su sve dospjele obveze prema proračunskim korisnicima. Također su podmirene i obveze prema dobavljačima.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a) Prekoračenje 1 do 60 dana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D236A</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11.244,80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odnose se na nepodmirene obveze prema proračunskim korisnicima drugog proračuna, zbog kašnjenja dostave zahtjeva. Ove su obveze podmirene u cjelosti u 2026.godini.</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90.828,09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Rashodi poslovanja su većim djelom podmireni u 2026. godini.</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108.688,92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obuhvaćaju obveze po kreditnim zaduženjima koje se podmiruju prema dospijeću tromjesečnom.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996e38c60304756" /></Relationships>
</file>